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13" w:rightFromText="113" w:vertAnchor="page" w:horzAnchor="margin" w:tblpY="1573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B55D97" w:rsidRPr="00DD2D15" w:rsidTr="00425E37">
        <w:tc>
          <w:tcPr>
            <w:tcW w:w="9355" w:type="dxa"/>
          </w:tcPr>
          <w:p w:rsidR="00FF0A5E" w:rsidRPr="00DD2D15" w:rsidRDefault="00FF0A5E" w:rsidP="00425E3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252788136" w:edGrp="everyone"/>
            <w:r w:rsidRPr="00DD2D15">
              <w:rPr>
                <w:rFonts w:ascii="Arial" w:hAnsi="Arial" w:cs="Arial"/>
                <w:b/>
                <w:bCs/>
                <w:sz w:val="24"/>
                <w:szCs w:val="24"/>
              </w:rPr>
              <w:t>РОССИЙСКАЯ</w:t>
            </w:r>
            <w:r w:rsidR="00DD2D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b/>
                <w:bCs/>
                <w:sz w:val="24"/>
                <w:szCs w:val="24"/>
              </w:rPr>
              <w:t>ФЕДЕРАЦИЯ</w:t>
            </w:r>
          </w:p>
          <w:p w:rsidR="00FF0A5E" w:rsidRPr="00DD2D15" w:rsidRDefault="00FF0A5E" w:rsidP="00425E3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D15">
              <w:rPr>
                <w:rFonts w:ascii="Arial" w:hAnsi="Arial" w:cs="Arial"/>
                <w:b/>
                <w:bCs/>
                <w:sz w:val="24"/>
                <w:szCs w:val="24"/>
              </w:rPr>
              <w:t>КРАСНОЯРСКИЙ</w:t>
            </w:r>
            <w:r w:rsidR="00DD2D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DD2D15">
              <w:rPr>
                <w:rFonts w:ascii="Arial" w:hAnsi="Arial" w:cs="Arial"/>
                <w:b/>
                <w:bCs/>
                <w:sz w:val="24"/>
                <w:szCs w:val="24"/>
              </w:rPr>
              <w:t>КРАЙ</w:t>
            </w:r>
          </w:p>
          <w:p w:rsidR="00FF0A5E" w:rsidRPr="00DD2D15" w:rsidRDefault="00FF0A5E" w:rsidP="00425E3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D15">
              <w:rPr>
                <w:rFonts w:ascii="Arial" w:hAnsi="Arial" w:cs="Arial"/>
                <w:b/>
                <w:bCs/>
                <w:sz w:val="24"/>
                <w:szCs w:val="24"/>
              </w:rPr>
              <w:t>ЕРМАКОВСКИЙ</w:t>
            </w:r>
            <w:r w:rsidR="00DD2D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DD2D15">
              <w:rPr>
                <w:rFonts w:ascii="Arial" w:hAnsi="Arial" w:cs="Arial"/>
                <w:b/>
                <w:bCs/>
                <w:sz w:val="24"/>
                <w:szCs w:val="24"/>
              </w:rPr>
              <w:t>РАЙОН</w:t>
            </w:r>
          </w:p>
          <w:p w:rsidR="00FF0A5E" w:rsidRPr="00DD2D15" w:rsidRDefault="00FF0A5E" w:rsidP="00425E3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D15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  <w:r w:rsidR="00DD2D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DD2D15">
              <w:rPr>
                <w:rFonts w:ascii="Arial" w:hAnsi="Arial" w:cs="Arial"/>
                <w:b/>
                <w:bCs/>
                <w:sz w:val="24"/>
                <w:szCs w:val="24"/>
              </w:rPr>
              <w:t>РАЗЪЕЗЖЕНСКОГО</w:t>
            </w:r>
            <w:r w:rsidR="00DD2D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DD2D15">
              <w:rPr>
                <w:rFonts w:ascii="Arial" w:hAnsi="Arial" w:cs="Arial"/>
                <w:b/>
                <w:bCs/>
                <w:sz w:val="24"/>
                <w:szCs w:val="24"/>
              </w:rPr>
              <w:t>СЕЛЬСОВЕТА</w:t>
            </w:r>
          </w:p>
          <w:p w:rsidR="00FF0A5E" w:rsidRPr="00DD2D15" w:rsidRDefault="00FF0A5E" w:rsidP="00425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0A5E" w:rsidRPr="00DD2D15" w:rsidRDefault="00FF0A5E" w:rsidP="00DD2D1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D2D1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О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С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Т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А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Н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О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В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Л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Е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Н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И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Е</w:t>
            </w:r>
          </w:p>
          <w:p w:rsidR="00FF0A5E" w:rsidRPr="00DD2D15" w:rsidRDefault="00FF0A5E" w:rsidP="00DD2D1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FF0A5E" w:rsidRPr="00DD2D15" w:rsidRDefault="00FF0A5E" w:rsidP="00DD2D1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D2D15">
              <w:rPr>
                <w:rFonts w:ascii="Arial" w:hAnsi="Arial" w:cs="Arial"/>
                <w:sz w:val="24"/>
                <w:szCs w:val="24"/>
              </w:rPr>
              <w:t>«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19»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февраля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2025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г.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DD2D15">
              <w:rPr>
                <w:rFonts w:ascii="Arial" w:hAnsi="Arial" w:cs="Arial"/>
                <w:sz w:val="24"/>
                <w:szCs w:val="24"/>
              </w:rPr>
              <w:t>с.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D2D15">
              <w:rPr>
                <w:rFonts w:ascii="Arial" w:hAnsi="Arial" w:cs="Arial"/>
                <w:sz w:val="24"/>
                <w:szCs w:val="24"/>
              </w:rPr>
              <w:t>Разъезжее</w:t>
            </w:r>
            <w:proofErr w:type="gramEnd"/>
            <w:r w:rsidR="00DD2D15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DD2D15">
              <w:rPr>
                <w:rFonts w:ascii="Arial" w:hAnsi="Arial" w:cs="Arial"/>
                <w:sz w:val="24"/>
                <w:szCs w:val="24"/>
              </w:rPr>
              <w:t>№</w:t>
            </w:r>
            <w:r w:rsidR="00DD2D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hAnsi="Arial" w:cs="Arial"/>
                <w:sz w:val="24"/>
                <w:szCs w:val="24"/>
              </w:rPr>
              <w:t>3п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1742D" w:rsidRPr="00DD2D15" w:rsidRDefault="00B55D97" w:rsidP="00DD2D15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утверждении</w:t>
            </w:r>
            <w:r w:rsid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Положения</w:t>
            </w:r>
            <w:r w:rsid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ведении</w:t>
            </w:r>
            <w:r w:rsid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собственно</w:t>
            </w:r>
            <w:r w:rsidR="00547B05"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сти</w:t>
            </w:r>
            <w:r w:rsid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47B05"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47B05"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образования</w:t>
            </w:r>
            <w:r w:rsid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Разъезженский</w:t>
            </w:r>
            <w:proofErr w:type="spellEnd"/>
            <w:r w:rsid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</w:t>
            </w:r>
          </w:p>
          <w:p w:rsidR="00B55D97" w:rsidRPr="00DD2D15" w:rsidRDefault="00DD2D15" w:rsidP="00DD2D15">
            <w:pPr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Ермак</w:t>
            </w:r>
            <w:r w:rsidR="00B1742D"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="00B55D97"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вского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B55D97"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района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Красноярского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края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55D97" w:rsidRPr="00DD2D15" w:rsidRDefault="00DD2D15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131-ФЗ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принципах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Федерации»,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Минфина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имущества»,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Уставом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ПОСТАНОВЛЯЮ: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Утвердить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F0A5E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Разъезженский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постановлению.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Обеспечить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Разъезженский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Порядком.</w:t>
            </w:r>
          </w:p>
          <w:p w:rsidR="00372BD2" w:rsidRPr="00DD2D15" w:rsidRDefault="00DD2D15" w:rsidP="00DD2D15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3.Официально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обнародовать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постановление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газете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Новости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Разъезжее,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Большая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Речка»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официальном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сайте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5" w:tgtFrame="_blank" w:history="1">
              <w:r w:rsidR="00372BD2" w:rsidRPr="00DD2D15">
                <w:rPr>
                  <w:rStyle w:val="a3"/>
                  <w:rFonts w:ascii="Arial" w:hAnsi="Arial" w:cs="Arial"/>
                  <w:sz w:val="24"/>
                  <w:szCs w:val="24"/>
                </w:rPr>
                <w:t>https://razezzhenskij-r04.gosweb.gosuslugi.ru/</w:t>
              </w:r>
            </w:hyperlink>
            <w:r w:rsidR="00372BD2" w:rsidRPr="00DD2D15">
              <w:rPr>
                <w:rFonts w:ascii="Arial" w:hAnsi="Arial" w:cs="Arial"/>
                <w:color w:val="0000FF"/>
                <w:sz w:val="24"/>
                <w:szCs w:val="24"/>
              </w:rPr>
              <w:t>.</w:t>
            </w:r>
          </w:p>
          <w:p w:rsidR="00B55D97" w:rsidRPr="00DD2D15" w:rsidRDefault="00DD2D15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372BD2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оставляю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собой.</w:t>
            </w:r>
          </w:p>
          <w:p w:rsidR="00FF0A5E" w:rsidRPr="00DD2D15" w:rsidRDefault="00DD2D15" w:rsidP="00DD2D1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F0A5E" w:rsidRPr="00DD2D15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0A5E" w:rsidRPr="00DD2D15">
              <w:rPr>
                <w:rFonts w:ascii="Arial" w:hAnsi="Arial" w:cs="Arial"/>
                <w:sz w:val="24"/>
                <w:szCs w:val="24"/>
              </w:rPr>
              <w:t>Настоящее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F0A5E" w:rsidRPr="00DD2D15">
              <w:rPr>
                <w:rFonts w:ascii="Arial" w:hAnsi="Arial" w:cs="Arial"/>
                <w:sz w:val="24"/>
                <w:szCs w:val="24"/>
              </w:rPr>
              <w:t>постановление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F0A5E" w:rsidRPr="00DD2D15">
              <w:rPr>
                <w:rFonts w:ascii="Arial" w:hAnsi="Arial" w:cs="Arial"/>
                <w:sz w:val="24"/>
                <w:szCs w:val="24"/>
              </w:rPr>
              <w:t>вступает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F0A5E" w:rsidRPr="00DD2D15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F0A5E" w:rsidRPr="00DD2D15">
              <w:rPr>
                <w:rFonts w:ascii="Arial" w:hAnsi="Arial" w:cs="Arial"/>
                <w:sz w:val="24"/>
                <w:szCs w:val="24"/>
              </w:rPr>
              <w:t>силу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F0A5E" w:rsidRPr="00DD2D15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0A5E" w:rsidRPr="00DD2D15">
              <w:rPr>
                <w:rFonts w:ascii="Arial" w:hAnsi="Arial" w:cs="Arial"/>
                <w:sz w:val="24"/>
                <w:szCs w:val="24"/>
              </w:rPr>
              <w:t>день,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0A5E" w:rsidRPr="00DD2D15">
              <w:rPr>
                <w:rFonts w:ascii="Arial" w:hAnsi="Arial" w:cs="Arial"/>
                <w:sz w:val="24"/>
                <w:szCs w:val="24"/>
              </w:rPr>
              <w:t>следующий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0A5E" w:rsidRPr="00DD2D15"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0A5E" w:rsidRPr="00DD2D15">
              <w:rPr>
                <w:rFonts w:ascii="Arial" w:hAnsi="Arial" w:cs="Arial"/>
                <w:sz w:val="24"/>
                <w:szCs w:val="24"/>
              </w:rPr>
              <w:t>днем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0A5E" w:rsidRPr="00DD2D15">
              <w:rPr>
                <w:rFonts w:ascii="Arial" w:hAnsi="Arial" w:cs="Arial"/>
                <w:sz w:val="24"/>
                <w:szCs w:val="24"/>
              </w:rPr>
              <w:t>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0A5E" w:rsidRPr="00DD2D15">
              <w:rPr>
                <w:rFonts w:ascii="Arial" w:hAnsi="Arial" w:cs="Arial"/>
                <w:sz w:val="24"/>
                <w:szCs w:val="24"/>
              </w:rPr>
              <w:t>официального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BD2" w:rsidRPr="00DD2D15">
              <w:rPr>
                <w:rFonts w:ascii="Arial" w:hAnsi="Arial" w:cs="Arial"/>
                <w:sz w:val="24"/>
                <w:szCs w:val="24"/>
              </w:rPr>
              <w:t>обнародования.</w:t>
            </w:r>
          </w:p>
          <w:p w:rsidR="00DD2D15" w:rsidRDefault="00DD2D15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F0A5E" w:rsidRPr="00DD2D15" w:rsidRDefault="00FF0A5E" w:rsidP="00DD2D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</w:t>
            </w:r>
            <w:bookmarkStart w:id="0" w:name="_GoBack"/>
            <w:bookmarkEnd w:id="0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Т.Ф.Вербовская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72BD2" w:rsidRPr="00DD2D15" w:rsidRDefault="00372BD2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72BD2" w:rsidRPr="00DD2D15" w:rsidRDefault="00372BD2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55D97" w:rsidRPr="00DD2D15" w:rsidRDefault="00B55D97" w:rsidP="00DD2D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  <w:p w:rsidR="00B55D97" w:rsidRPr="00DD2D15" w:rsidRDefault="00A5418D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  <w:p w:rsidR="00B55D97" w:rsidRPr="00DD2D15" w:rsidRDefault="00902A60" w:rsidP="00DD2D1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19.02.2025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3п</w:t>
            </w:r>
          </w:p>
          <w:p w:rsidR="00B55D97" w:rsidRPr="00DD2D15" w:rsidRDefault="00DD2D15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ПОЛОЖЕНИЕ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ЕРМАКОВСКОГО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КРАЯ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ПОЛОЖЕНИЯ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06.10.2003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131-ФЗ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принципах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Федерации»,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Минфина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имущества»,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Ермаковского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F0A5E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расноярского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края.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устанавливает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подлежащего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подлежащих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отражению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содержащейся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включает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экспертизу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имуществом.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бумажных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носителях.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администрацией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самостоятельно.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храниться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обрабатываться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недоступных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посторонних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условий,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хищения,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утраты,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искажения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подделки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2004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125-ФЗ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архивном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Федерации».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носителе,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хранится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обрабатывается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конфиденциальность,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целостность,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доступность,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подотчетность,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аутентичность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достоверность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администрацией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обязана: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предъявляемых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коммерческой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тайны;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информационно-справочное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выдавать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является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следующее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имущество: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недвижимые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(земельный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связанный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землей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перемещение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несоразмерного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ущерба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невозможно,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незавершенного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подлежащие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воздушные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морские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отнесенное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вещам);</w:t>
            </w:r>
            <w:proofErr w:type="gramEnd"/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движимые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документарные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бумаги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(акции)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относящееся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вещам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превышает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326A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A326A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05.06.2012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A326A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24-82р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собственностью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бездокументарные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бумаги),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относящееся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движимым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вещам,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превышает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326A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A326A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05.06.2012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A326A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24-82р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собственностью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находящихся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(объектов),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драгоценных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металлов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драгоценных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камней,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музейных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музейных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коллекций,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регулируется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законодательством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драгоценных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металлах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драгоценных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камнях,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Музейном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музеях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законодательством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составляют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государственную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тайну,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отнесенные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статьей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1993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5485-1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тайне»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тайне,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самостоятельно</w:t>
            </w: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.».</w:t>
            </w:r>
            <w:proofErr w:type="gramEnd"/>
          </w:p>
          <w:p w:rsidR="00B55D97" w:rsidRPr="00DD2D15" w:rsidRDefault="00B55D97" w:rsidP="00DD2D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</w:p>
          <w:p w:rsidR="00B55D97" w:rsidRPr="00DD2D15" w:rsidRDefault="00DD2D15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сопровождается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номер),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определяются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самостоятельно.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является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содержащая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достаточные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выдачи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реестра).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Образец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Положению.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путем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соответствующие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(владельцем)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является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обладающих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изменившихся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принадлежащем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учреждению,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учреждению,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автономному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учреждению,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унитарному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предприятию,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предприятию</w:t>
            </w:r>
            <w:proofErr w:type="gram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лицу,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принадлежит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(далее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правообладатель),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составляющем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муниципальную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путем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правообладателя.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Неотъемлемой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являются: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включаемые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предусмотренные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состоит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разделов.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движимом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обладающих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подразделов,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соответственно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недвижимого,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движимого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обладающих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них.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(местоположение)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Общероссийского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классификатора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присвоения);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включающее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организационно-правовую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фамилию,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налогоплательщика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нахождения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жительства</w:t>
            </w:r>
            <w:proofErr w:type="gram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пребывания)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правообладателе);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принадлежит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разрешенного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использования;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произведенном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(обременениях)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(обременений),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прекращения;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включающее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организационно-правовую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фамилию,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нахождения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жительства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пребывания)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</w:t>
            </w:r>
            <w:proofErr w:type="gramEnd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необходимости).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сооружениях,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незавершенного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отнесенных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недвижимости,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(местоположение)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присвоения);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(кадастровый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правообладателе;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принадлежит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(жилое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этажность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(подземная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этажность);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(произведенных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достройках,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сносе);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(обременениях)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(обременений),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прекращения;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сооружениях,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являющихся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составляющими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сооружение;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необходимости).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отнесенных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недвижимости,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(местоположение)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присвоения);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входит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(кадастровый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правообладателе;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принадлежит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(жилое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этажность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(подземная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этажность);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инвентарный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(произведенных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достройках,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сносе);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(обременениях)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(обременений),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прекращения;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необходимости).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воздушных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морских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плавания,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(место)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(аэродром)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базирования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присвоения);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правообладателе;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принадлежит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судна,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постройки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судна,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серийный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(заводской)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строящихся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судов);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судна;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произведенных</w:t>
            </w:r>
            <w:proofErr w:type="gram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судна;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(обременениях)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(обременений),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прекращения;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необходимости).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движимом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акциях,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акционерном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(эмитенте),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включающее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организационно-правовую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нахождения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акциях,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акций,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выпусков,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номинальная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акций,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(обыкновенные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привилегированные);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правообладателе;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принадлежит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(обременениях)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(обременений),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прекращения;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необходимости).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(вкладах)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уставных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(складочных)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товариществ,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(товариществе),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включающее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организационно-правовую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нахождения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(вклад)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уставном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(складочном)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товарищества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процентах;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правообладателе;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принадлежит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(обременениях)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(обременений),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прекращения;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необходимости).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движимом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долей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(вкладов)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уставных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(складочных)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товариществ,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движимого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модель,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выпуска,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правообладателе;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принадлежит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(обременениях)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(обременений),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прекращения;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необходимости).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долевой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движимого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долевой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движимого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доли;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долевой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организационно-правовую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фамилию,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нахождения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жительства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пребывания)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ОКТМО);</w:t>
            </w:r>
            <w:proofErr w:type="gramEnd"/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правообладателе;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принадлежит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(прекращения)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движимого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находящихся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долевой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наличии);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(обременениях)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(обременений),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прекращения;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(обременения);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необходимости).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обладающих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правообладателях;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принадлежащих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соответствующем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праве;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(обременены)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правообладателя;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необходимости).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обладающих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вносятся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правообладателя.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</w:p>
          <w:p w:rsidR="00B55D97" w:rsidRPr="00DD2D15" w:rsidRDefault="00DD2D15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приобретенном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основаниях,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поступающем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законодательством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7-дневный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соответствующего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одновременным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</w:t>
            </w:r>
            <w:proofErr w:type="gramEnd"/>
            <w:r w:rsidR="00B55D97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принадлежащего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(бессрочного)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пожизненного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наследуемого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учтенного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7-дневный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рассекречивание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одновременным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</w:t>
            </w:r>
            <w:proofErr w:type="gramEnd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обладающих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соответствующем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7-дневный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бухгалтерской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(финансовой)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законодательством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</w:t>
            </w:r>
            <w:proofErr w:type="gram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учета),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одновременным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соответствующем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касаются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нескольких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направляет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абзаце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прекращено,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принадлежало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7-дневный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одновременным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государственную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влечет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принадлежало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направляет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абзаце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засекречивания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учтенном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обладающих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позднее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следующего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засекречивание,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засекреченных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засекреченных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proofErr w:type="gram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засекречивание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позднее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следующего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засекреченных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исключить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засекреченные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учтенном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обладающих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4.1-4.4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направляются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которому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принадлежало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бумажном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носителе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подписанного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квалифицированной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подписи</w:t>
            </w:r>
            <w:proofErr w:type="gram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правообладателя.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4.7.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(упразднения)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являющегося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осуществляются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7-дневный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ЕГРЮЛ)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ликвидационного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баланса.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Ликвидационный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баланс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требуется,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было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несостоятельным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(банкротом)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ликвидировано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прекратившим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ЕГРЮЛ.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14-дневный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экспертизу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результатам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решений: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изменившихся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подлинность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достоверность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содержащихся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сведений;</w:t>
            </w:r>
            <w:proofErr w:type="gramEnd"/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отказе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установлено,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зарегистрировано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подлежит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находится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приостановлении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процедуры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случаях: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</w:t>
            </w:r>
            <w:proofErr w:type="gram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неполнота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недостоверность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содержащихся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правообладателем,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настоящим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Порядком,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законодательством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предусмотренного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"в"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направляет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7-дневный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недостающие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учтены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установлено,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находится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находящееся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учтено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7-дневный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срок:</w:t>
            </w:r>
            <w:proofErr w:type="gramEnd"/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вносит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правообладателях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наличии);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направляет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7-дневный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документами,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недостающие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сведения).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4.10.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возникновении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муниципальную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казну,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лицах,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обладающих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(бессрочного)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пожизненного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наследуемого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силу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принадлежавший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правообладателю</w:t>
            </w:r>
            <w:proofErr w:type="gramEnd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Положения.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4.11.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решений,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предусмотренных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настоящим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Положением,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предусмотрено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настоящим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Положением,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определяются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Администрацией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самостоятельно.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4.12.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предусмотренные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настоящим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Положением,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направляются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определяемым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Администрацией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самостоятельно.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запрашиваемой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отказе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невозможности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предоставляются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заинтересованным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помощью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посредством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почты,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«Единый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портал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(функций)»,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порталов</w:t>
            </w:r>
            <w:proofErr w:type="gram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законами,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Президента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постановлениями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Правительства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течение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запроса.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вправе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предусмотренном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Положения.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запрашиваемой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отказе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невозможности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определяются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Администрацией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самостоятельно.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Выписка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запрашиваемой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отказе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невозможности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выдаются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единственном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экземпляре.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законодательством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выписок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запрашиваемой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отказе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невозможности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Генеральной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прокуратуре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заместителям,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аудиторам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палаты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фондам,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правоохранительным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судам,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приставам-исполнителям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находящимся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уголовным,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гражданским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определенным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актами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правообладателям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принадлежащего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ПОСЛЕДСТВИЯ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СОДЕРЖАЩЕЙСЯ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содержащейся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влечет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ответственность,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предусмотренную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действующим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законодательством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Федерации.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собственностью,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контракт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(договор)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унитарного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товарищества,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общества,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некоммерческой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участников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должен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содержать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расторжении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(контракта)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</w:t>
            </w:r>
            <w:proofErr w:type="gram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недостоверных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непредставление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сведений.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55D97" w:rsidRPr="00DD2D15" w:rsidRDefault="00B55D97" w:rsidP="00DD2D1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убытков,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причиненных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Разъезженского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недостоверных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непредставлением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этих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сведений,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осуществляется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порядке,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действующим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законодательством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соответствующими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договорами.</w:t>
            </w:r>
          </w:p>
          <w:p w:rsidR="00B55D97" w:rsidRPr="00DD2D15" w:rsidRDefault="00DD2D15" w:rsidP="00425E37">
            <w:pPr>
              <w:shd w:val="clear" w:color="auto" w:fill="FFFFFF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55D97" w:rsidRPr="00DD2D15" w:rsidRDefault="00DD2D15" w:rsidP="00425E37">
            <w:pPr>
              <w:shd w:val="clear" w:color="auto" w:fill="FFFFFF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D2D15" w:rsidRDefault="00DD2D15" w:rsidP="00425E37">
            <w:pPr>
              <w:spacing w:after="0" w:line="240" w:lineRule="auto"/>
              <w:ind w:left="5954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425E37">
            <w:pPr>
              <w:spacing w:after="0" w:line="240" w:lineRule="auto"/>
              <w:ind w:left="5954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425E37">
            <w:pPr>
              <w:spacing w:after="0" w:line="240" w:lineRule="auto"/>
              <w:ind w:left="5954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425E37">
            <w:pPr>
              <w:spacing w:after="0" w:line="240" w:lineRule="auto"/>
              <w:ind w:left="5954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425E37">
            <w:pPr>
              <w:spacing w:after="0" w:line="240" w:lineRule="auto"/>
              <w:ind w:left="5954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425E37">
            <w:pPr>
              <w:spacing w:after="0" w:line="240" w:lineRule="auto"/>
              <w:ind w:left="5954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2D15" w:rsidRDefault="00DD2D15" w:rsidP="00425E37">
            <w:pPr>
              <w:spacing w:after="0" w:line="240" w:lineRule="auto"/>
              <w:ind w:left="5954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55D97" w:rsidRPr="00DD2D15" w:rsidRDefault="00B55D97" w:rsidP="00425E37">
            <w:pPr>
              <w:spacing w:after="0" w:line="240" w:lineRule="auto"/>
              <w:ind w:left="5954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Положению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="00A5418D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Разъезженский</w:t>
            </w:r>
            <w:proofErr w:type="spellEnd"/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C5BE4"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Ермаковского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</w:t>
            </w:r>
            <w:r w:rsid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края</w:t>
            </w:r>
          </w:p>
          <w:p w:rsidR="00B55D97" w:rsidRPr="00DD2D15" w:rsidRDefault="00DD2D15" w:rsidP="00425E37">
            <w:pPr>
              <w:spacing w:after="0" w:line="240" w:lineRule="auto"/>
              <w:ind w:left="6096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55D97" w:rsidRPr="00DD2D15" w:rsidRDefault="00DD2D15" w:rsidP="00425E37">
            <w:pPr>
              <w:spacing w:after="0" w:line="240" w:lineRule="auto"/>
              <w:ind w:left="6096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55D97" w:rsidRPr="00DD2D15" w:rsidRDefault="00B55D97" w:rsidP="00425E37">
            <w:pPr>
              <w:spacing w:after="0" w:line="240" w:lineRule="auto"/>
              <w:ind w:left="6096"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Образец</w:t>
            </w:r>
            <w:r w:rsid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2D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Выписки</w:t>
            </w:r>
          </w:p>
          <w:p w:rsidR="00B55D97" w:rsidRPr="00DD2D15" w:rsidRDefault="00DD2D15" w:rsidP="00425E3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94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0"/>
              <w:gridCol w:w="1001"/>
              <w:gridCol w:w="2728"/>
              <w:gridCol w:w="83"/>
              <w:gridCol w:w="2003"/>
            </w:tblGrid>
            <w:tr w:rsidR="00B55D97" w:rsidRPr="00DD2D15">
              <w:tc>
                <w:tcPr>
                  <w:tcW w:w="949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ВЫПИСКА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____</w:t>
                  </w:r>
                </w:p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из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реестра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муниципального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имущества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объекте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учета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муниципального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имущества</w:t>
                  </w:r>
                </w:p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"__"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________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20__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B55D97" w:rsidRPr="00DD2D15">
              <w:tc>
                <w:tcPr>
                  <w:tcW w:w="949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DD2D15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55D97" w:rsidRPr="00DD2D15">
              <w:tc>
                <w:tcPr>
                  <w:tcW w:w="949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A326A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Администрация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A5418D"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Разъезженского</w:t>
                  </w:r>
                  <w:r w:rsidR="008C5BE4"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сельсовета</w:t>
                  </w:r>
                  <w:proofErr w:type="spellEnd"/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Ермаковского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района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Красноярского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края</w:t>
                  </w:r>
                </w:p>
              </w:tc>
            </w:tr>
            <w:tr w:rsidR="00B55D97" w:rsidRPr="00DD2D15">
              <w:tc>
                <w:tcPr>
                  <w:tcW w:w="949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Заявитель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________________________________________________________________________________</w:t>
                  </w:r>
                </w:p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(наименование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юридического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лица,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фамилия,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имя,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отчество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(при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наличии)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физического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лица)</w:t>
                  </w:r>
                </w:p>
              </w:tc>
            </w:tr>
            <w:tr w:rsidR="00B55D97" w:rsidRPr="00DD2D15">
              <w:tc>
                <w:tcPr>
                  <w:tcW w:w="949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Сведения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объекте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муниципального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имущества</w:t>
                  </w:r>
                </w:p>
              </w:tc>
            </w:tr>
            <w:tr w:rsidR="00B55D97" w:rsidRPr="00DD2D15">
              <w:trPr>
                <w:trHeight w:val="965"/>
              </w:trPr>
              <w:tc>
                <w:tcPr>
                  <w:tcW w:w="949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Вид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объекта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учета:____________________________________________________________</w:t>
                  </w:r>
                </w:p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__________________________________________________________________________________________</w:t>
                  </w:r>
                </w:p>
                <w:p w:rsidR="00B55D97" w:rsidRPr="00DD2D15" w:rsidRDefault="00DD2D15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55D97" w:rsidRPr="00DD2D15">
              <w:tc>
                <w:tcPr>
                  <w:tcW w:w="36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Реестровый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номер:</w:t>
                  </w:r>
                </w:p>
              </w:tc>
              <w:tc>
                <w:tcPr>
                  <w:tcW w:w="581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Дата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присвоения:</w:t>
                  </w:r>
                </w:p>
                <w:p w:rsidR="00B55D97" w:rsidRPr="00DD2D15" w:rsidRDefault="00DD2D15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55D97" w:rsidRPr="00DD2D15">
              <w:tc>
                <w:tcPr>
                  <w:tcW w:w="46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Наименования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сведений</w:t>
                  </w:r>
                </w:p>
              </w:tc>
              <w:tc>
                <w:tcPr>
                  <w:tcW w:w="48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Значения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сведений</w:t>
                  </w:r>
                </w:p>
              </w:tc>
            </w:tr>
            <w:tr w:rsidR="00B55D97" w:rsidRPr="00DD2D15">
              <w:tc>
                <w:tcPr>
                  <w:tcW w:w="46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B55D97" w:rsidRPr="00DD2D15">
              <w:tc>
                <w:tcPr>
                  <w:tcW w:w="46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DD2D15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DD2D15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55D97" w:rsidRPr="00DD2D15">
              <w:tc>
                <w:tcPr>
                  <w:tcW w:w="949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Информация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изменении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сведений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объекте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учета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муниципального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имущества</w:t>
                  </w:r>
                </w:p>
              </w:tc>
            </w:tr>
            <w:tr w:rsidR="00B55D97" w:rsidRPr="00DD2D15">
              <w:tc>
                <w:tcPr>
                  <w:tcW w:w="46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изменения</w:t>
                  </w:r>
                </w:p>
              </w:tc>
              <w:tc>
                <w:tcPr>
                  <w:tcW w:w="2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Значение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сведений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Дата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изменения</w:t>
                  </w:r>
                </w:p>
              </w:tc>
            </w:tr>
            <w:tr w:rsidR="00B55D97" w:rsidRPr="00DD2D15">
              <w:tc>
                <w:tcPr>
                  <w:tcW w:w="46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B55D97" w:rsidRPr="00DD2D15">
              <w:tc>
                <w:tcPr>
                  <w:tcW w:w="46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B55D97" w:rsidRPr="00DD2D15" w:rsidRDefault="00DD2D15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DD2D15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DD2D15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55D97" w:rsidRPr="00DD2D15">
              <w:tc>
                <w:tcPr>
                  <w:tcW w:w="949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--------------------------------------------------------------------------</w:t>
                  </w:r>
                </w:p>
              </w:tc>
            </w:tr>
            <w:tr w:rsidR="00B55D97" w:rsidRPr="00DD2D15">
              <w:tc>
                <w:tcPr>
                  <w:tcW w:w="949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ОТМЕТКА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ПОДТВЕРЖДЕНИИ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СВЕДЕНИЙ,</w:t>
                  </w:r>
                </w:p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СОДЕРЖАЩИХСЯ</w:t>
                  </w:r>
                  <w:proofErr w:type="gramEnd"/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НАСТОЯЩЕЙ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ВЫПИСКЕ</w:t>
                  </w:r>
                </w:p>
              </w:tc>
            </w:tr>
            <w:tr w:rsidR="00B55D97" w:rsidRPr="00DD2D15">
              <w:tc>
                <w:tcPr>
                  <w:tcW w:w="36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Ответственный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  <w:p w:rsidR="00B55D97" w:rsidRPr="00DD2D15" w:rsidRDefault="00DD2D15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381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DD2D15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55D97" w:rsidRPr="00DD2D15" w:rsidRDefault="00DD2D15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55D97" w:rsidRPr="00DD2D15" w:rsidRDefault="00DD2D15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DD2D15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55D97" w:rsidRPr="00DD2D15">
              <w:tc>
                <w:tcPr>
                  <w:tcW w:w="94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1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DD2D15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(подпись)</w:t>
                  </w:r>
                </w:p>
                <w:p w:rsidR="00B55D97" w:rsidRPr="00DD2D15" w:rsidRDefault="00DD2D15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(расшифровка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подписи)</w:t>
                  </w:r>
                </w:p>
              </w:tc>
            </w:tr>
            <w:tr w:rsidR="00B55D97" w:rsidRPr="00DD2D15">
              <w:tc>
                <w:tcPr>
                  <w:tcW w:w="949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55D97" w:rsidRPr="00DD2D15" w:rsidRDefault="00B55D97" w:rsidP="00DD2D15">
                  <w:pPr>
                    <w:framePr w:hSpace="113" w:wrap="around" w:vAnchor="page" w:hAnchor="margin" w:y="1573"/>
                    <w:spacing w:after="0" w:line="240" w:lineRule="auto"/>
                    <w:ind w:firstLine="567"/>
                    <w:suppressOverlap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"__"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________________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20__</w:t>
                  </w:r>
                  <w:r w:rsid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D1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B55D97" w:rsidRPr="00DD2D15" w:rsidRDefault="00DD2D15" w:rsidP="00425E3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55D97" w:rsidRPr="00DD2D15" w:rsidRDefault="00DD2D15" w:rsidP="00425E3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55D97" w:rsidRPr="00DD2D15" w:rsidRDefault="00B55D97" w:rsidP="00425E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D97" w:rsidRPr="00DD2D15" w:rsidRDefault="00B55D97" w:rsidP="00425E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D97" w:rsidRPr="00DD2D15" w:rsidRDefault="00B55D97" w:rsidP="00425E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55D97" w:rsidRPr="00DD2D15" w:rsidRDefault="00B55D97" w:rsidP="00425E3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2D15">
              <w:rPr>
                <w:rFonts w:ascii="Arial" w:eastAsia="Calibri" w:hAnsi="Arial" w:cs="Arial"/>
                <w:sz w:val="24"/>
                <w:szCs w:val="24"/>
              </w:rPr>
              <w:t>Глава</w:t>
            </w:r>
            <w:r w:rsidR="00DD2D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D2D15">
              <w:rPr>
                <w:rFonts w:ascii="Arial" w:eastAsia="Calibri" w:hAnsi="Arial" w:cs="Arial"/>
                <w:sz w:val="24"/>
                <w:szCs w:val="24"/>
              </w:rPr>
              <w:t>сельсовета</w:t>
            </w:r>
            <w:r w:rsidR="00DD2D15">
              <w:rPr>
                <w:rFonts w:ascii="Arial" w:eastAsia="Calibri" w:hAnsi="Arial" w:cs="Arial"/>
                <w:sz w:val="24"/>
                <w:szCs w:val="24"/>
              </w:rPr>
              <w:t xml:space="preserve">         </w:t>
            </w:r>
          </w:p>
          <w:permEnd w:id="252788136"/>
          <w:p w:rsidR="00B55D97" w:rsidRPr="00DD2D15" w:rsidRDefault="00B55D97" w:rsidP="00425E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55D97" w:rsidRPr="00DD2D15" w:rsidRDefault="00B55D97" w:rsidP="00B55D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55D97" w:rsidRPr="00B55D97" w:rsidRDefault="00B55D97" w:rsidP="00B55D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03CE" w:rsidRDefault="00A803CE"/>
    <w:sectPr w:rsidR="00A8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97"/>
    <w:rsid w:val="00020D68"/>
    <w:rsid w:val="00160D93"/>
    <w:rsid w:val="00372BD2"/>
    <w:rsid w:val="003A2CCB"/>
    <w:rsid w:val="00425E37"/>
    <w:rsid w:val="00476C8C"/>
    <w:rsid w:val="004A0F1C"/>
    <w:rsid w:val="004A5375"/>
    <w:rsid w:val="00547B05"/>
    <w:rsid w:val="005F19E3"/>
    <w:rsid w:val="007A326A"/>
    <w:rsid w:val="008B5A2D"/>
    <w:rsid w:val="008C5BE4"/>
    <w:rsid w:val="00902A60"/>
    <w:rsid w:val="00A5418D"/>
    <w:rsid w:val="00A803CE"/>
    <w:rsid w:val="00AB4672"/>
    <w:rsid w:val="00B1742D"/>
    <w:rsid w:val="00B55D97"/>
    <w:rsid w:val="00DD2D15"/>
    <w:rsid w:val="00E47145"/>
    <w:rsid w:val="00E735F0"/>
    <w:rsid w:val="00FD1DD6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0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A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0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zezz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5035</Words>
  <Characters>28704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Ксения Александровна</dc:creator>
  <cp:keywords/>
  <dc:description/>
  <cp:lastModifiedBy>VedSpec</cp:lastModifiedBy>
  <cp:revision>20</cp:revision>
  <cp:lastPrinted>2025-03-03T02:28:00Z</cp:lastPrinted>
  <dcterms:created xsi:type="dcterms:W3CDTF">2025-02-04T09:23:00Z</dcterms:created>
  <dcterms:modified xsi:type="dcterms:W3CDTF">2025-03-03T02:37:00Z</dcterms:modified>
</cp:coreProperties>
</file>